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18"/>
        <w:spacing w:line="360" w:lineRule="auto"/>
        <w:ind w:firstLine="0" w:firstLineChars="0"/>
        <w:jc w:val="center"/>
        <w:rPr>
          <w:rFonts w:hint="eastAsia" w:ascii="仿宋" w:hAnsi="仿宋" w:eastAsia="仿宋" w:cs="仿宋"/>
          <w:b/>
          <w:bCs w:val="0"/>
          <w:color w:val="000000" w:themeColor="text1"/>
          <w:sz w:val="44"/>
          <w:szCs w:val="44"/>
          <w14:textFill>
            <w14:solidFill>
              <w14:schemeClr w14:val="tx1"/>
            </w14:solidFill>
          </w14:textFill>
        </w:rPr>
      </w:pPr>
      <w:r>
        <w:rPr>
          <w:rFonts w:hint="eastAsia" w:ascii="仿宋" w:hAnsi="仿宋" w:eastAsia="仿宋" w:cs="仿宋"/>
          <w:bCs w:val="0"/>
          <w:color w:val="000000" w:themeColor="text1"/>
          <w:sz w:val="44"/>
          <w:szCs w:val="44"/>
          <w14:textFill>
            <w14:solidFill>
              <w14:schemeClr w14:val="tx1"/>
            </w14:solidFill>
          </w14:textFill>
        </w:rPr>
        <w:t>暨南大学研究生会活动招标方案</w:t>
      </w:r>
    </w:p>
    <w:p>
      <w:pPr>
        <w:pStyle w:val="18"/>
        <w:spacing w:line="360" w:lineRule="auto"/>
        <w:ind w:firstLine="0" w:firstLineChars="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招标说明</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1.各参与申请的单位须提交一份完整的《暨南大学研究生会活动招标申请书》,内容完整、操作性强；</w:t>
      </w:r>
      <w:bookmarkStart w:id="0" w:name="_GoBack"/>
      <w:bookmarkEnd w:id="0"/>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活动主题要求围绕强化理想信念教育，提高学术水平、宣扬科学精神，强化国家意识、法治意识、社会责任意识，弘扬中华优秀传统文化和社会主义先进文化等主题，组织工作准备充分，确保活动有序安全进行；</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3.活动具体形式不限，</w:t>
      </w:r>
      <w:r>
        <w:rPr>
          <w:rFonts w:hint="eastAsia" w:ascii="仿宋" w:hAnsi="仿宋" w:eastAsia="仿宋" w:cs="仿宋"/>
          <w:color w:val="000000" w:themeColor="text1"/>
          <w:sz w:val="28"/>
          <w:szCs w:val="28"/>
          <w:lang w:val="en-US" w:eastAsia="zh-CN"/>
          <w14:textFill>
            <w14:solidFill>
              <w14:schemeClr w14:val="tx1"/>
            </w14:solidFill>
          </w14:textFill>
        </w:rPr>
        <w:t>兼具</w:t>
      </w:r>
      <w:r>
        <w:rPr>
          <w:rFonts w:hint="eastAsia" w:ascii="仿宋" w:hAnsi="仿宋" w:eastAsia="仿宋" w:cs="仿宋"/>
          <w:color w:val="000000" w:themeColor="text1"/>
          <w:sz w:val="28"/>
          <w:szCs w:val="28"/>
          <w14:textFill>
            <w14:solidFill>
              <w14:schemeClr w14:val="tx1"/>
            </w14:solidFill>
          </w14:textFill>
        </w:rPr>
        <w:t>趣味性</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创新性。</w:t>
      </w:r>
      <w:r>
        <w:rPr>
          <w:rFonts w:hint="eastAsia" w:ascii="仿宋" w:hAnsi="仿宋" w:eastAsia="仿宋" w:cs="仿宋"/>
          <w:color w:val="000000" w:themeColor="text1"/>
          <w:sz w:val="28"/>
          <w:szCs w:val="28"/>
          <w14:textFill>
            <w14:solidFill>
              <w14:schemeClr w14:val="tx1"/>
            </w14:solidFill>
          </w14:textFill>
        </w:rPr>
        <w:t>申报单位按实际情况及自身组织能力进行策划安排；</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4.比赛场地由承办单位自行解决；</w:t>
      </w:r>
    </w:p>
    <w:p>
      <w:pPr>
        <w:spacing w:line="240" w:lineRule="auto"/>
        <w:ind w:firstLine="280" w:firstLineChars="1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5.一旦学院研会申报成功，将全权负责活动一切宣传报名及组织工作，校研究生会协助承办单位开展工作，利用微信公众平台等途径扩大活动影响力。</w:t>
      </w:r>
    </w:p>
    <w:p>
      <w:pPr>
        <w:spacing w:line="240" w:lineRule="auto"/>
        <w:ind w:firstLine="0" w:firstLineChars="0"/>
        <w:rPr>
          <w:rFonts w:hint="eastAsia" w:ascii="仿宋" w:hAnsi="仿宋" w:eastAsia="仿宋" w:cs="仿宋"/>
          <w:sz w:val="22"/>
          <w:szCs w:val="24"/>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6.为提高活动质量，各学院仅限每种活动类型（文体类、品牌类、创新类）提交1-2个活动方案。</w:t>
      </w:r>
    </w:p>
    <w:p>
      <w:pPr>
        <w:ind w:firstLine="320" w:firstLineChars="100"/>
        <w:rPr>
          <w:rFonts w:hint="eastAsia" w:ascii="仿宋" w:hAnsi="仿宋" w:eastAsia="仿宋" w:cs="仿宋"/>
          <w:color w:val="000000" w:themeColor="text1"/>
          <w:sz w:val="32"/>
          <w:szCs w:val="32"/>
          <w14:textFill>
            <w14:solidFill>
              <w14:schemeClr w14:val="tx1"/>
            </w14:solidFill>
          </w14:textFill>
        </w:rPr>
      </w:pPr>
    </w:p>
    <w:p>
      <w:pPr>
        <w:pStyle w:val="18"/>
        <w:spacing w:line="360" w:lineRule="auto"/>
        <w:ind w:firstLine="0" w:firstLineChars="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一、招标活动要求</w:t>
      </w:r>
    </w:p>
    <w:p>
      <w:pPr>
        <w:pStyle w:val="21"/>
        <w:ind w:firstLine="0" w:firstLineChars="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1.活动介绍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5103"/>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pStyle w:val="3"/>
              <w:spacing w:line="360"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活动类型</w:t>
            </w:r>
          </w:p>
        </w:tc>
        <w:tc>
          <w:tcPr>
            <w:tcW w:w="5103" w:type="dxa"/>
            <w:vAlign w:val="center"/>
          </w:tcPr>
          <w:p>
            <w:pPr>
              <w:pStyle w:val="3"/>
              <w:spacing w:line="360"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活动介绍</w:t>
            </w:r>
          </w:p>
        </w:tc>
        <w:tc>
          <w:tcPr>
            <w:tcW w:w="1468" w:type="dxa"/>
            <w:vAlign w:val="center"/>
          </w:tcPr>
          <w:p>
            <w:pPr>
              <w:pStyle w:val="3"/>
              <w:spacing w:line="360"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招标名额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pStyle w:val="3"/>
              <w:spacing w:line="360"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文体类活动</w:t>
            </w:r>
          </w:p>
        </w:tc>
        <w:tc>
          <w:tcPr>
            <w:tcW w:w="5103" w:type="dxa"/>
            <w:vAlign w:val="center"/>
          </w:tcPr>
          <w:p>
            <w:pPr>
              <w:pStyle w:val="3"/>
              <w:spacing w:line="360" w:lineRule="auto"/>
              <w:jc w:val="both"/>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能促进研究生群体之间的交流，</w:t>
            </w:r>
            <w:r>
              <w:rPr>
                <w:rFonts w:hint="eastAsia" w:ascii="仿宋" w:hAnsi="仿宋" w:eastAsia="仿宋" w:cs="仿宋"/>
                <w:bCs/>
                <w:color w:val="000000" w:themeColor="text1"/>
                <w:sz w:val="28"/>
                <w:szCs w:val="28"/>
                <w:lang w:val="en-US" w:eastAsia="zh-CN"/>
                <w14:textFill>
                  <w14:solidFill>
                    <w14:schemeClr w14:val="tx1"/>
                  </w14:solidFill>
                </w14:textFill>
              </w:rPr>
              <w:t>帮助</w:t>
            </w:r>
            <w:r>
              <w:rPr>
                <w:rFonts w:hint="eastAsia" w:ascii="仿宋" w:hAnsi="仿宋" w:eastAsia="仿宋" w:cs="仿宋"/>
                <w:bCs/>
                <w:color w:val="000000" w:themeColor="text1"/>
                <w:sz w:val="28"/>
                <w:szCs w:val="28"/>
                <w14:textFill>
                  <w14:solidFill>
                    <w14:schemeClr w14:val="tx1"/>
                  </w14:solidFill>
                </w14:textFill>
              </w:rPr>
              <w:t>搭建交友平台</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建立友谊，丰富同学们课余文化生活</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1468" w:type="dxa"/>
            <w:vAlign w:val="center"/>
          </w:tcPr>
          <w:p>
            <w:pPr>
              <w:pStyle w:val="3"/>
              <w:spacing w:line="360"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pStyle w:val="3"/>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品牌类（特色类）活动</w:t>
            </w:r>
          </w:p>
        </w:tc>
        <w:tc>
          <w:tcPr>
            <w:tcW w:w="5103" w:type="dxa"/>
            <w:vAlign w:val="center"/>
          </w:tcPr>
          <w:p>
            <w:pPr>
              <w:pStyle w:val="18"/>
              <w:spacing w:line="360" w:lineRule="auto"/>
              <w:ind w:firstLine="0" w:firstLineChars="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活动为各学院</w:t>
            </w:r>
            <w:r>
              <w:rPr>
                <w:rFonts w:hint="eastAsia" w:ascii="仿宋" w:hAnsi="仿宋" w:eastAsia="仿宋" w:cs="仿宋"/>
                <w:b w:val="0"/>
                <w:bCs/>
                <w:color w:val="000000" w:themeColor="text1"/>
                <w:sz w:val="28"/>
                <w:szCs w:val="28"/>
                <w:lang w:val="en-US" w:eastAsia="zh-CN"/>
                <w14:textFill>
                  <w14:solidFill>
                    <w14:schemeClr w14:val="tx1"/>
                  </w14:solidFill>
                </w14:textFill>
              </w:rPr>
              <w:t>传统或具有特色的</w:t>
            </w:r>
            <w:r>
              <w:rPr>
                <w:rFonts w:hint="eastAsia" w:ascii="仿宋" w:hAnsi="仿宋" w:eastAsia="仿宋" w:cs="仿宋"/>
                <w:b w:val="0"/>
                <w:bCs/>
                <w:color w:val="000000" w:themeColor="text1"/>
                <w:sz w:val="28"/>
                <w:szCs w:val="28"/>
                <w14:textFill>
                  <w14:solidFill>
                    <w14:schemeClr w14:val="tx1"/>
                  </w14:solidFill>
                </w14:textFill>
              </w:rPr>
              <w:t>品牌活动</w:t>
            </w:r>
          </w:p>
        </w:tc>
        <w:tc>
          <w:tcPr>
            <w:tcW w:w="1468" w:type="dxa"/>
            <w:vAlign w:val="center"/>
          </w:tcPr>
          <w:p>
            <w:pPr>
              <w:pStyle w:val="3"/>
              <w:spacing w:line="360"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pStyle w:val="3"/>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创新类活动</w:t>
            </w:r>
          </w:p>
        </w:tc>
        <w:tc>
          <w:tcPr>
            <w:tcW w:w="5103" w:type="dxa"/>
            <w:vAlign w:val="center"/>
          </w:tcPr>
          <w:p>
            <w:pPr>
              <w:pStyle w:val="3"/>
              <w:spacing w:line="360" w:lineRule="auto"/>
              <w:jc w:val="both"/>
              <w:rPr>
                <w:rFonts w:hint="default"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活动</w:t>
            </w:r>
            <w:r>
              <w:rPr>
                <w:rFonts w:hint="eastAsia" w:ascii="仿宋" w:hAnsi="仿宋" w:eastAsia="仿宋" w:cs="仿宋"/>
                <w:bCs/>
                <w:color w:val="000000" w:themeColor="text1"/>
                <w:sz w:val="28"/>
                <w:szCs w:val="28"/>
                <w:lang w:val="en-US" w:eastAsia="zh-CN"/>
                <w14:textFill>
                  <w14:solidFill>
                    <w14:schemeClr w14:val="tx1"/>
                  </w14:solidFill>
                </w14:textFill>
              </w:rPr>
              <w:t>为各学院</w:t>
            </w:r>
            <w:r>
              <w:rPr>
                <w:rFonts w:hint="eastAsia" w:ascii="仿宋" w:hAnsi="仿宋" w:eastAsia="仿宋" w:cs="仿宋"/>
                <w:bCs/>
                <w:color w:val="000000" w:themeColor="text1"/>
                <w:sz w:val="28"/>
                <w:szCs w:val="28"/>
                <w14:textFill>
                  <w14:solidFill>
                    <w14:schemeClr w14:val="tx1"/>
                  </w14:solidFill>
                </w14:textFill>
              </w:rPr>
              <w:t>首次举办、具有开创性的活动</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1468" w:type="dxa"/>
            <w:vAlign w:val="center"/>
          </w:tcPr>
          <w:p>
            <w:pPr>
              <w:pStyle w:val="3"/>
              <w:spacing w:line="360"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3-5个</w:t>
            </w:r>
          </w:p>
        </w:tc>
      </w:tr>
    </w:tbl>
    <w:p>
      <w:pPr>
        <w:pStyle w:val="3"/>
        <w:spacing w:line="360" w:lineRule="auto"/>
        <w:ind w:firstLine="560" w:firstLineChars="200"/>
        <w:rPr>
          <w:rFonts w:hint="default"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注：以上</w:t>
      </w:r>
      <w:r>
        <w:rPr>
          <w:rFonts w:hint="eastAsia" w:ascii="仿宋" w:hAnsi="仿宋" w:eastAsia="仿宋" w:cs="仿宋"/>
          <w:bCs/>
          <w:color w:val="auto"/>
          <w:sz w:val="28"/>
          <w:szCs w:val="28"/>
        </w:rPr>
        <w:t>活动面向全校研究生</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且内容积极健康向上，能够展示新时代暨南研究生良好的风采面貌。</w:t>
      </w:r>
    </w:p>
    <w:p>
      <w:pPr>
        <w:pStyle w:val="3"/>
        <w:spacing w:line="360" w:lineRule="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2.时间安排</w:t>
      </w:r>
    </w:p>
    <w:p>
      <w:pPr>
        <w:pStyle w:val="18"/>
        <w:spacing w:line="360" w:lineRule="auto"/>
        <w:ind w:firstLine="48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第一学期（由各学院根据自身实际时间举办）。</w:t>
      </w:r>
    </w:p>
    <w:p>
      <w:pPr>
        <w:pStyle w:val="21"/>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3.单位表述</w:t>
      </w:r>
    </w:p>
    <w:p>
      <w:pPr>
        <w:pStyle w:val="21"/>
        <w:ind w:firstLine="480"/>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主办单位：暨南大学研究生会；</w:t>
      </w:r>
    </w:p>
    <w:p>
      <w:pPr>
        <w:pStyle w:val="21"/>
        <w:ind w:firstLine="480"/>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承办单位：各申请学院研究生会（合作学院不超过3个）。</w:t>
      </w:r>
    </w:p>
    <w:p>
      <w:pPr>
        <w:pStyle w:val="21"/>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4.招标要求</w:t>
      </w:r>
    </w:p>
    <w:p>
      <w:pPr>
        <w:widowControl/>
        <w:spacing w:line="360" w:lineRule="auto"/>
        <w:ind w:firstLine="588" w:firstLineChars="21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r>
        <w:rPr>
          <w:rFonts w:hint="eastAsia" w:ascii="仿宋" w:hAnsi="仿宋" w:eastAsia="仿宋" w:cs="仿宋"/>
          <w:bCs/>
          <w:color w:val="000000" w:themeColor="text1"/>
          <w:sz w:val="28"/>
          <w:szCs w:val="28"/>
          <w:shd w:val="clear" w:color="auto" w:fill="FFFFFF"/>
          <w14:textFill>
            <w14:solidFill>
              <w14:schemeClr w14:val="tx1"/>
            </w14:solidFill>
          </w14:textFill>
        </w:rPr>
        <w:t xml:space="preserve"> 活动主题应健康有益，思想积极向上,贴近研究生的实际,调动研究生的参与积极性；</w:t>
      </w:r>
    </w:p>
    <w:p>
      <w:pPr>
        <w:widowControl/>
        <w:spacing w:line="360" w:lineRule="auto"/>
        <w:ind w:firstLine="588" w:firstLineChars="21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 活动策划有效可行，发挥创新意识，活动吸引力强；</w:t>
      </w:r>
    </w:p>
    <w:p>
      <w:pPr>
        <w:widowControl/>
        <w:spacing w:line="360" w:lineRule="auto"/>
        <w:ind w:firstLine="588" w:firstLineChars="21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 活动效果氛围良好，参与度高，能有效促进各院间的联谊和沟通交流。</w:t>
      </w:r>
    </w:p>
    <w:p>
      <w:pPr>
        <w:pStyle w:val="21"/>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5.适用对象</w:t>
      </w:r>
    </w:p>
    <w:p>
      <w:pPr>
        <w:pStyle w:val="3"/>
        <w:spacing w:line="360" w:lineRule="auto"/>
        <w:ind w:firstLine="840" w:firstLineChars="3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各学院研究生会。</w:t>
      </w:r>
    </w:p>
    <w:p>
      <w:pPr>
        <w:pStyle w:val="3"/>
        <w:spacing w:line="360" w:lineRule="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6.经费支持</w:t>
      </w:r>
    </w:p>
    <w:p>
      <w:pPr>
        <w:pStyle w:val="3"/>
        <w:spacing w:line="360" w:lineRule="auto"/>
        <w:ind w:firstLine="840" w:firstLineChars="3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每个活动可申请600-1400元活动补贴，由活动评标小组决定按规模、参与度等决定支持经费，活动完成后按完成度、经费使用等实际情况划拨补贴。</w:t>
      </w:r>
    </w:p>
    <w:p>
      <w:pPr>
        <w:pStyle w:val="18"/>
        <w:spacing w:line="360" w:lineRule="auto"/>
        <w:ind w:firstLine="0" w:firstLineChars="0"/>
        <w:rPr>
          <w:rFonts w:hint="eastAsia" w:ascii="仿宋" w:hAnsi="仿宋" w:eastAsia="仿宋" w:cs="仿宋"/>
          <w:b w:val="0"/>
          <w:bCs/>
          <w:color w:val="000000" w:themeColor="text1"/>
          <w:sz w:val="28"/>
          <w:szCs w:val="28"/>
          <w14:textFill>
            <w14:solidFill>
              <w14:schemeClr w14:val="tx1"/>
            </w14:solidFill>
          </w14:textFill>
        </w:rPr>
      </w:pPr>
    </w:p>
    <w:p>
      <w:pPr>
        <w:pStyle w:val="18"/>
        <w:spacing w:line="360" w:lineRule="auto"/>
        <w:ind w:firstLine="0" w:firstLineChars="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二、活动评标组织形式</w:t>
      </w:r>
    </w:p>
    <w:p>
      <w:pPr>
        <w:pStyle w:val="18"/>
        <w:spacing w:line="360" w:lineRule="auto"/>
        <w:ind w:firstLine="0" w:firstLineChars="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（一）评议小组成员</w:t>
      </w:r>
    </w:p>
    <w:p>
      <w:pPr>
        <w:spacing w:line="360" w:lineRule="auto"/>
        <w:ind w:firstLine="700" w:firstLineChars="2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暨南大学研究生会主席团；</w:t>
      </w:r>
    </w:p>
    <w:p>
      <w:pPr>
        <w:spacing w:line="360" w:lineRule="auto"/>
        <w:ind w:firstLine="700" w:firstLineChars="2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负责该活动的校研会各工作部门负责人；</w:t>
      </w:r>
    </w:p>
    <w:p>
      <w:pPr>
        <w:spacing w:line="360" w:lineRule="auto"/>
        <w:ind w:firstLine="840" w:firstLineChars="3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提交申请材料的各学院研会分别派出的一名代表。</w:t>
      </w:r>
    </w:p>
    <w:p>
      <w:pPr>
        <w:pStyle w:val="21"/>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（二）申请时间</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11月</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auto"/>
          <w:sz w:val="28"/>
          <w:szCs w:val="28"/>
          <w:lang w:val="en-US" w:eastAsia="zh-CN"/>
        </w:rPr>
        <w:t>7</w:t>
      </w:r>
      <w:r>
        <w:rPr>
          <w:rFonts w:hint="eastAsia" w:ascii="仿宋" w:hAnsi="仿宋" w:eastAsia="仿宋" w:cs="仿宋"/>
          <w:color w:val="000000" w:themeColor="text1"/>
          <w:sz w:val="28"/>
          <w:szCs w:val="28"/>
          <w14:textFill>
            <w14:solidFill>
              <w14:schemeClr w14:val="tx1"/>
            </w14:solidFill>
          </w14:textFill>
        </w:rPr>
        <w:t>日—11月</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日。</w:t>
      </w:r>
    </w:p>
    <w:p>
      <w:pPr>
        <w:pStyle w:val="21"/>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（三）评标流程</w:t>
      </w:r>
    </w:p>
    <w:p>
      <w:pPr>
        <w:pStyle w:val="21"/>
        <w:ind w:firstLine="48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前期：各学院以研会为单位提交活动申请材料；</w:t>
      </w:r>
    </w:p>
    <w:p>
      <w:pPr>
        <w:pStyle w:val="21"/>
        <w:ind w:firstLine="48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中期：评标小组盲审竞标资料；</w:t>
      </w:r>
    </w:p>
    <w:p>
      <w:pPr>
        <w:pStyle w:val="21"/>
        <w:ind w:firstLine="48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后期：公布评审结果。</w:t>
      </w:r>
    </w:p>
    <w:p>
      <w:pPr>
        <w:pStyle w:val="21"/>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（四）评标原则</w:t>
      </w:r>
    </w:p>
    <w:p>
      <w:pPr>
        <w:pStyle w:val="21"/>
        <w:ind w:firstLine="48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秉承公平、公开、公正原则，从众多学院提交的活动策划方案中挑选具有可行性</w:t>
      </w:r>
      <w:r>
        <w:rPr>
          <w:rFonts w:hint="eastAsia" w:ascii="仿宋" w:hAnsi="仿宋" w:eastAsia="仿宋" w:cs="仿宋"/>
          <w:b w:val="0"/>
          <w:sz w:val="28"/>
          <w:szCs w:val="28"/>
        </w:rPr>
        <w:t>、</w:t>
      </w:r>
      <w:r>
        <w:rPr>
          <w:rFonts w:hint="eastAsia" w:ascii="仿宋" w:hAnsi="仿宋" w:eastAsia="仿宋" w:cs="仿宋"/>
          <w:b w:val="0"/>
          <w:color w:val="000000" w:themeColor="text1"/>
          <w:sz w:val="28"/>
          <w:szCs w:val="28"/>
          <w14:textFill>
            <w14:solidFill>
              <w14:schemeClr w14:val="tx1"/>
            </w14:solidFill>
          </w14:textFill>
        </w:rPr>
        <w:t>有利于全体研究生参与、体现研究生积极向上的精神、提升我校研究生的综合素质和丰富我校研究生的校园文化生活的策划案。</w:t>
      </w:r>
    </w:p>
    <w:p>
      <w:pPr>
        <w:pStyle w:val="21"/>
        <w:ind w:firstLine="0" w:firstLineChars="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（五）评审方法</w:t>
      </w:r>
    </w:p>
    <w:p>
      <w:pPr>
        <w:pStyle w:val="21"/>
        <w:ind w:firstLineChars="83"/>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1.评审依据</w:t>
      </w:r>
    </w:p>
    <w:p>
      <w:pPr>
        <w:pStyle w:val="21"/>
        <w:ind w:firstLine="480"/>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（1）学院提交的活动招标申请书</w:t>
      </w:r>
    </w:p>
    <w:p>
      <w:pPr>
        <w:pStyle w:val="21"/>
        <w:ind w:firstLine="48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① 申请书整体设计（目录）</w:t>
      </w:r>
    </w:p>
    <w:p>
      <w:pPr>
        <w:pStyle w:val="21"/>
        <w:ind w:firstLine="48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整体框架包括：活动主题、活动目的、活动时间、活动地点、活动对象、主办单位、承办单位、活动宣传、活动流程、工作安排、应急措施、预期效果（参赛人数、到场观众人数、观众反应、现场气氛等）、预算经费等内容。其中，活动的创新点尤为重要。</w:t>
      </w:r>
    </w:p>
    <w:p>
      <w:pPr>
        <w:pStyle w:val="21"/>
        <w:ind w:firstLine="48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② 活动宣传设计</w:t>
      </w:r>
    </w:p>
    <w:p>
      <w:pPr>
        <w:pStyle w:val="21"/>
        <w:ind w:firstLine="700" w:firstLineChars="25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A.宣传形式。包括线上线下宣传，通过什么途径，是否较全面地涵盖我校研究生，判断宣传形式是否有创新或有效吸引研究生参与等；</w:t>
      </w:r>
    </w:p>
    <w:p>
      <w:pPr>
        <w:pStyle w:val="21"/>
        <w:ind w:firstLine="700" w:firstLineChars="25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B.宣传日期。包括前、中、后期的宣传时段，判断安排是否合理等；</w:t>
      </w:r>
    </w:p>
    <w:p>
      <w:pPr>
        <w:pStyle w:val="21"/>
        <w:ind w:firstLine="0" w:firstLineChars="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ab/>
      </w:r>
      <w:r>
        <w:rPr>
          <w:rFonts w:hint="eastAsia" w:ascii="仿宋" w:hAnsi="仿宋" w:eastAsia="仿宋" w:cs="仿宋"/>
          <w:b w:val="0"/>
          <w:color w:val="000000" w:themeColor="text1"/>
          <w:sz w:val="28"/>
          <w:szCs w:val="28"/>
          <w14:textFill>
            <w14:solidFill>
              <w14:schemeClr w14:val="tx1"/>
            </w14:solidFill>
          </w14:textFill>
        </w:rPr>
        <w:t xml:space="preserve">  C.宣传内容。包括线上线下的文字图案的编辑是否突出活动主题、报名须知是否清晰等。</w:t>
      </w:r>
    </w:p>
    <w:p>
      <w:pPr>
        <w:pStyle w:val="21"/>
        <w:ind w:firstLine="48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③ 活动流程设计</w:t>
      </w:r>
    </w:p>
    <w:p>
      <w:pPr>
        <w:pStyle w:val="21"/>
        <w:ind w:firstLine="48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活动现场流程是否严谨紧密；活动流程设计是否有独到之处等。</w:t>
      </w:r>
    </w:p>
    <w:p>
      <w:pPr>
        <w:pStyle w:val="21"/>
        <w:ind w:firstLine="48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④ 活动经费管理</w:t>
      </w:r>
    </w:p>
    <w:p>
      <w:pPr>
        <w:pStyle w:val="21"/>
        <w:ind w:firstLine="48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查看预算经费的详细安排是否合理（包括：基本物资、宣传费用、场地费用、人员支出、礼品、奖品奖金等）。</w:t>
      </w:r>
    </w:p>
    <w:p>
      <w:pPr>
        <w:pStyle w:val="21"/>
        <w:ind w:firstLine="48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⑤ 工作人员安排</w:t>
      </w:r>
    </w:p>
    <w:p>
      <w:pPr>
        <w:pStyle w:val="21"/>
        <w:ind w:firstLine="48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查看具体工作的安排（宣传、活动现场等）是否落实到具体人员，人员数量安排是否充裕以应对不时之需。</w:t>
      </w:r>
    </w:p>
    <w:p>
      <w:pPr>
        <w:pStyle w:val="21"/>
        <w:ind w:firstLine="48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⑥ 风险应对措施</w:t>
      </w:r>
    </w:p>
    <w:p>
      <w:pPr>
        <w:pStyle w:val="21"/>
        <w:ind w:firstLine="48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A.针对活动报名参与人员数量与全面性而采取什么措施保证活动顺利完成。</w:t>
      </w:r>
    </w:p>
    <w:p>
      <w:pPr>
        <w:pStyle w:val="21"/>
        <w:ind w:firstLine="48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B.针对突发状况时现场人员安全疏散的具体安排。</w:t>
      </w:r>
    </w:p>
    <w:p>
      <w:pPr>
        <w:pStyle w:val="23"/>
        <w:ind w:firstLine="0" w:firstLineChars="0"/>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2.评分标准</w:t>
      </w:r>
    </w:p>
    <w:p>
      <w:pPr>
        <w:pStyle w:val="21"/>
        <w:ind w:firstLine="232" w:firstLineChars="83"/>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（1）评审内容</w:t>
      </w:r>
    </w:p>
    <w:p>
      <w:pPr>
        <w:pStyle w:val="21"/>
        <w:ind w:firstLine="480"/>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内容设计总分100分。</w:t>
      </w:r>
    </w:p>
    <w:p>
      <w:pPr>
        <w:pStyle w:val="21"/>
        <w:ind w:firstLine="232" w:firstLineChars="83"/>
        <w:outlineLvl w:val="9"/>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（2）评分权重</w:t>
      </w:r>
    </w:p>
    <w:p>
      <w:pPr>
        <w:pStyle w:val="21"/>
        <w:ind w:firstLine="480"/>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A.活动招标申请书的整体框架占10%；</w:t>
      </w:r>
    </w:p>
    <w:p>
      <w:pPr>
        <w:pStyle w:val="21"/>
        <w:ind w:firstLine="480"/>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B.活动宣传设计占20%；</w:t>
      </w:r>
    </w:p>
    <w:p>
      <w:pPr>
        <w:pStyle w:val="21"/>
        <w:ind w:firstLine="480"/>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C.活动流程设计占15%；</w:t>
      </w:r>
    </w:p>
    <w:p>
      <w:pPr>
        <w:pStyle w:val="21"/>
        <w:ind w:firstLine="480"/>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D.活动经费管理占20%；</w:t>
      </w:r>
    </w:p>
    <w:p>
      <w:pPr>
        <w:pStyle w:val="21"/>
        <w:ind w:firstLine="480"/>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E.工作人员安排占10%；</w:t>
      </w:r>
    </w:p>
    <w:p>
      <w:pPr>
        <w:pStyle w:val="21"/>
        <w:ind w:firstLine="480"/>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F.活动创新点占20%；</w:t>
      </w:r>
    </w:p>
    <w:p>
      <w:pPr>
        <w:pStyle w:val="21"/>
        <w:ind w:firstLine="480"/>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G.风险应对措施占5%。</w:t>
      </w:r>
    </w:p>
    <w:p>
      <w:pPr>
        <w:pStyle w:val="21"/>
        <w:ind w:firstLine="280" w:firstLineChars="100"/>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（3）算分方式</w:t>
      </w:r>
    </w:p>
    <w:p>
      <w:pPr>
        <w:pStyle w:val="21"/>
        <w:ind w:firstLine="480"/>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第一类文体类活动：先由校研究生会主席团成员以及负责该活动的校研会工作部门的负责人打分，去掉一个最高分，去掉一个最低分，取算数平均数，乘以0.6。再由提交申请材料的各学院研会分别派出的一名代表进行打分，去掉一个最高分，去掉一个最低分，取算数平均数，乘以0.4。最后，两个分相加即为总分。</w:t>
      </w:r>
    </w:p>
    <w:p>
      <w:pPr>
        <w:pStyle w:val="21"/>
        <w:ind w:firstLine="480"/>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第二类品牌类（特色类）活动以及第三类创新类活动：先由校研究生会主席团成员进行打分，去掉一个最高分，去掉一个最低分，取算数平均数，乘以0.6。再由提交申请材料的各学院研会分别派出的一名代表进行打分，去掉一个最高分，去掉一个最低分，取算数平均数，乘以0.4。最后，两个分相加即为总分。</w:t>
      </w:r>
    </w:p>
    <w:p>
      <w:pPr>
        <w:pStyle w:val="21"/>
        <w:ind w:firstLine="0" w:firstLineChars="0"/>
        <w:rPr>
          <w:rFonts w:hint="eastAsia"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（六）最后评审结果公布方式</w:t>
      </w:r>
    </w:p>
    <w:p>
      <w:pPr>
        <w:pStyle w:val="3"/>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在评审过后三天之内在暨南大学研究生德育网公示。</w:t>
      </w:r>
    </w:p>
    <w:p>
      <w:pPr>
        <w:pStyle w:val="18"/>
        <w:spacing w:line="360" w:lineRule="auto"/>
        <w:ind w:firstLine="0" w:firstLineChars="0"/>
        <w:rPr>
          <w:rFonts w:hint="eastAsia" w:ascii="仿宋" w:hAnsi="仿宋" w:eastAsia="仿宋" w:cs="仿宋"/>
          <w:color w:val="000000" w:themeColor="text1"/>
          <w:sz w:val="28"/>
          <w:szCs w:val="28"/>
          <w:highlight w:val="yellow"/>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（七）申报方式</w:t>
      </w:r>
    </w:p>
    <w:p>
      <w:pPr>
        <w:spacing w:line="360" w:lineRule="auto"/>
        <w:rPr>
          <w:rFonts w:hint="eastAsia" w:ascii="仿宋" w:hAnsi="仿宋" w:eastAsia="仿宋" w:cs="仿宋"/>
          <w:b w:val="0"/>
          <w:bCs/>
          <w:sz w:val="28"/>
          <w:szCs w:val="28"/>
        </w:rPr>
      </w:pPr>
      <w:r>
        <w:rPr>
          <w:rFonts w:hint="eastAsia" w:ascii="仿宋" w:hAnsi="仿宋" w:eastAsia="仿宋" w:cs="仿宋"/>
          <w:b w:val="0"/>
          <w:color w:val="000000" w:themeColor="text1"/>
          <w:sz w:val="28"/>
          <w:szCs w:val="28"/>
          <w14:textFill>
            <w14:solidFill>
              <w14:schemeClr w14:val="tx1"/>
            </w14:solidFill>
          </w14:textFill>
        </w:rPr>
        <w:t>有意愿申报的学院于</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年11月</w:t>
      </w:r>
      <w:r>
        <w:rPr>
          <w:rFonts w:hint="eastAsia" w:ascii="仿宋" w:hAnsi="仿宋" w:eastAsia="仿宋" w:cs="仿宋"/>
          <w:bCs/>
          <w:color w:val="000000" w:themeColor="text1"/>
          <w:sz w:val="32"/>
          <w:szCs w:val="32"/>
          <w:lang w:val="en-US" w:eastAsia="zh-CN"/>
          <w14:textFill>
            <w14:solidFill>
              <w14:schemeClr w14:val="tx1"/>
            </w14:solidFill>
          </w14:textFill>
        </w:rPr>
        <w:t>28</w:t>
      </w:r>
      <w:r>
        <w:rPr>
          <w:rFonts w:hint="eastAsia" w:ascii="仿宋" w:hAnsi="仿宋" w:eastAsia="仿宋" w:cs="仿宋"/>
          <w:bCs/>
          <w:color w:val="000000" w:themeColor="text1"/>
          <w:sz w:val="32"/>
          <w:szCs w:val="32"/>
          <w14:textFill>
            <w14:solidFill>
              <w14:schemeClr w14:val="tx1"/>
            </w14:solidFill>
          </w14:textFill>
        </w:rPr>
        <w:t>号</w:t>
      </w:r>
      <w:r>
        <w:rPr>
          <w:rFonts w:hint="eastAsia" w:ascii="仿宋" w:hAnsi="仿宋" w:eastAsia="仿宋" w:cs="仿宋"/>
          <w:bCs/>
          <w:color w:val="000000" w:themeColor="text1"/>
          <w:sz w:val="32"/>
          <w:szCs w:val="32"/>
          <w:lang w:eastAsia="zh-CN"/>
          <w14:textFill>
            <w14:solidFill>
              <w14:schemeClr w14:val="tx1"/>
            </w14:solidFill>
          </w14:textFill>
        </w:rPr>
        <w:t>2</w:t>
      </w:r>
      <w:r>
        <w:rPr>
          <w:rFonts w:hint="eastAsia" w:ascii="仿宋" w:hAnsi="仿宋" w:eastAsia="仿宋" w:cs="仿宋"/>
          <w:bCs/>
          <w:color w:val="000000" w:themeColor="text1"/>
          <w:sz w:val="32"/>
          <w:szCs w:val="32"/>
          <w:lang w:val="en-US" w:eastAsia="zh-CN"/>
          <w14:textFill>
            <w14:solidFill>
              <w14:schemeClr w14:val="tx1"/>
            </w14:solidFill>
          </w14:textFill>
        </w:rPr>
        <w:t>3：59</w:t>
      </w:r>
      <w:r>
        <w:rPr>
          <w:rFonts w:hint="eastAsia" w:ascii="仿宋" w:hAnsi="仿宋" w:eastAsia="仿宋" w:cs="仿宋"/>
          <w:b w:val="0"/>
          <w:color w:val="000000" w:themeColor="text1"/>
          <w:sz w:val="28"/>
          <w:szCs w:val="28"/>
          <w14:textFill>
            <w14:solidFill>
              <w14:schemeClr w14:val="tx1"/>
            </w14:solidFill>
          </w14:textFill>
        </w:rPr>
        <w:t>按以下具体要求把</w:t>
      </w:r>
      <w:r>
        <w:rPr>
          <w:rFonts w:hint="eastAsia" w:ascii="仿宋" w:hAnsi="仿宋" w:eastAsia="仿宋" w:cs="仿宋"/>
          <w:b w:val="0"/>
          <w:bCs/>
          <w:color w:val="000000" w:themeColor="text1"/>
          <w:sz w:val="28"/>
          <w:szCs w:val="28"/>
          <w14:textFill>
            <w14:solidFill>
              <w14:schemeClr w14:val="tx1"/>
            </w14:solidFill>
          </w14:textFill>
        </w:rPr>
        <w:t>《暨南大学研究生会活动</w:t>
      </w:r>
      <w:r>
        <w:rPr>
          <w:rFonts w:hint="eastAsia" w:ascii="仿宋" w:hAnsi="仿宋" w:eastAsia="仿宋" w:cs="仿宋"/>
          <w:b w:val="0"/>
          <w:color w:val="000000" w:themeColor="text1"/>
          <w:sz w:val="28"/>
          <w:szCs w:val="28"/>
          <w14:textFill>
            <w14:solidFill>
              <w14:schemeClr w14:val="tx1"/>
            </w14:solidFill>
          </w14:textFill>
        </w:rPr>
        <w:t>招标申请书》发送到</w:t>
      </w:r>
      <w:r>
        <w:rPr>
          <w:rFonts w:hint="eastAsia" w:ascii="仿宋" w:hAnsi="仿宋" w:eastAsia="仿宋" w:cs="仿宋"/>
          <w:b w:val="0"/>
          <w:color w:val="000000" w:themeColor="text1"/>
          <w:sz w:val="28"/>
          <w:szCs w:val="28"/>
          <w:lang w:val="en-US" w:eastAsia="zh-CN"/>
          <w14:textFill>
            <w14:solidFill>
              <w14:schemeClr w14:val="tx1"/>
            </w14:solidFill>
          </w14:textFill>
        </w:rPr>
        <w:t>校研会</w:t>
      </w:r>
      <w:r>
        <w:rPr>
          <w:rFonts w:hint="eastAsia" w:ascii="仿宋" w:hAnsi="仿宋" w:eastAsia="仿宋" w:cs="仿宋"/>
          <w:b w:val="0"/>
          <w:color w:val="000000" w:themeColor="text1"/>
          <w:sz w:val="28"/>
          <w:szCs w:val="28"/>
          <w14:textFill>
            <w14:solidFill>
              <w14:schemeClr w14:val="tx1"/>
            </w14:solidFill>
          </w14:textFill>
        </w:rPr>
        <w:t>邮箱：</w:t>
      </w:r>
      <w:r>
        <w:rPr>
          <w:rFonts w:hint="eastAsia" w:ascii="仿宋" w:hAnsi="仿宋" w:eastAsia="仿宋" w:cs="仿宋"/>
          <w:b w:val="0"/>
          <w:color w:val="000000" w:themeColor="text1"/>
          <w:sz w:val="28"/>
          <w:szCs w:val="28"/>
          <w14:textFill>
            <w14:solidFill>
              <w14:schemeClr w14:val="tx1"/>
            </w14:solidFill>
          </w14:textFill>
        </w:rPr>
        <w:fldChar w:fldCharType="begin"/>
      </w:r>
      <w:r>
        <w:rPr>
          <w:rFonts w:hint="eastAsia" w:ascii="仿宋" w:hAnsi="仿宋" w:eastAsia="仿宋" w:cs="仿宋"/>
          <w:b w:val="0"/>
          <w:color w:val="000000" w:themeColor="text1"/>
          <w:sz w:val="28"/>
          <w:szCs w:val="28"/>
          <w14:textFill>
            <w14:solidFill>
              <w14:schemeClr w14:val="tx1"/>
            </w14:solidFill>
          </w14:textFill>
        </w:rPr>
        <w:instrText xml:space="preserve"> HYPERLINK "mailto:ojnuhrd@jnu.edu.cn。" </w:instrText>
      </w:r>
      <w:r>
        <w:rPr>
          <w:rFonts w:hint="eastAsia" w:ascii="仿宋" w:hAnsi="仿宋" w:eastAsia="仿宋" w:cs="仿宋"/>
          <w:b w:val="0"/>
          <w:color w:val="000000" w:themeColor="text1"/>
          <w:sz w:val="28"/>
          <w:szCs w:val="28"/>
          <w14:textFill>
            <w14:solidFill>
              <w14:schemeClr w14:val="tx1"/>
            </w14:solidFill>
          </w14:textFill>
        </w:rPr>
        <w:fldChar w:fldCharType="separate"/>
      </w:r>
      <w:r>
        <w:rPr>
          <w:rStyle w:val="12"/>
          <w:rFonts w:hint="eastAsia" w:ascii="仿宋" w:hAnsi="仿宋" w:eastAsia="仿宋" w:cs="仿宋"/>
          <w:b w:val="0"/>
          <w:color w:val="000000" w:themeColor="text1"/>
          <w:sz w:val="28"/>
          <w:szCs w:val="28"/>
          <w14:textFill>
            <w14:solidFill>
              <w14:schemeClr w14:val="tx1"/>
            </w14:solidFill>
          </w14:textFill>
        </w:rPr>
        <w:t>ojnuhrd@jnu.edu.cn</w:t>
      </w:r>
      <w:r>
        <w:rPr>
          <w:rStyle w:val="12"/>
          <w:rFonts w:hint="eastAsia" w:ascii="仿宋" w:hAnsi="仿宋" w:eastAsia="仿宋" w:cs="仿宋"/>
          <w:b w:val="0"/>
          <w:bCs/>
          <w:color w:val="auto"/>
          <w:sz w:val="28"/>
          <w:szCs w:val="28"/>
        </w:rPr>
        <w:t>。</w:t>
      </w:r>
      <w:r>
        <w:rPr>
          <w:rFonts w:hint="eastAsia" w:ascii="仿宋" w:hAnsi="仿宋" w:eastAsia="仿宋" w:cs="仿宋"/>
          <w:b w:val="0"/>
          <w:color w:val="000000" w:themeColor="text1"/>
          <w:sz w:val="28"/>
          <w:szCs w:val="28"/>
          <w14:textFill>
            <w14:solidFill>
              <w14:schemeClr w14:val="tx1"/>
            </w14:solidFill>
          </w14:textFill>
        </w:rPr>
        <w:fldChar w:fldCharType="end"/>
      </w:r>
    </w:p>
    <w:p>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 xml:space="preserve">联系人： </w:t>
      </w:r>
    </w:p>
    <w:p>
      <w:pPr>
        <w:spacing w:line="360" w:lineRule="auto"/>
        <w:ind w:firstLine="42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黄婉根13622266275 </w:t>
      </w:r>
    </w:p>
    <w:p>
      <w:pPr>
        <w:ind w:firstLine="420"/>
        <w:rPr>
          <w:rFonts w:hint="eastAsia" w:ascii="仿宋" w:hAnsi="仿宋" w:eastAsia="仿宋" w:cs="仿宋"/>
          <w:b w:val="0"/>
          <w:bCs/>
          <w:sz w:val="28"/>
          <w:szCs w:val="28"/>
        </w:rPr>
      </w:pPr>
      <w:r>
        <w:rPr>
          <w:rFonts w:hint="eastAsia" w:ascii="仿宋" w:hAnsi="仿宋" w:eastAsia="仿宋" w:cs="仿宋"/>
          <w:sz w:val="28"/>
          <w:szCs w:val="28"/>
          <w:lang w:val="en-US" w:eastAsia="zh-CN"/>
        </w:rPr>
        <w:t>黄荣华18018252790</w:t>
      </w:r>
    </w:p>
    <w:p>
      <w:pPr>
        <w:pStyle w:val="18"/>
        <w:spacing w:line="360" w:lineRule="auto"/>
        <w:ind w:firstLine="0" w:firstLineChars="0"/>
        <w:rPr>
          <w:rFonts w:hint="eastAsia" w:ascii="仿宋" w:hAnsi="仿宋" w:eastAsia="仿宋" w:cs="仿宋"/>
          <w:bCs/>
          <w:color w:val="000000" w:themeColor="text1"/>
          <w:sz w:val="28"/>
          <w:szCs w:val="28"/>
          <w:highlight w:val="yellow"/>
          <w:u w:val="single"/>
          <w14:textFill>
            <w14:solidFill>
              <w14:schemeClr w14:val="tx1"/>
            </w14:solidFill>
          </w14:textFill>
        </w:rPr>
      </w:pPr>
    </w:p>
    <w:p>
      <w:pPr>
        <w:pStyle w:val="18"/>
        <w:spacing w:line="360" w:lineRule="auto"/>
        <w:ind w:firstLine="0" w:firstLineChars="0"/>
        <w:rPr>
          <w:rFonts w:hint="eastAsia"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s="仿宋"/>
          <w:bCs/>
          <w:color w:val="000000" w:themeColor="text1"/>
          <w:sz w:val="28"/>
          <w:szCs w:val="28"/>
          <w:highlight w:val="yellow"/>
          <w:u w:val="single"/>
          <w14:textFill>
            <w14:solidFill>
              <w14:schemeClr w14:val="tx1"/>
            </w14:solidFill>
          </w14:textFill>
        </w:rPr>
        <w:t>邮件发送具体要求：</w:t>
      </w:r>
    </w:p>
    <w:p>
      <w:pPr>
        <w:pStyle w:val="18"/>
        <w:numPr>
          <w:ilvl w:val="0"/>
          <w:numId w:val="1"/>
        </w:numPr>
        <w:spacing w:line="360" w:lineRule="auto"/>
        <w:ind w:firstLine="0" w:firstLineChars="0"/>
        <w:rPr>
          <w:rFonts w:hint="eastAsia" w:ascii="仿宋" w:hAnsi="仿宋" w:eastAsia="仿宋" w:cs="仿宋"/>
          <w:b w:val="0"/>
          <w:bCs/>
          <w:color w:val="FF0000"/>
          <w:sz w:val="28"/>
          <w:szCs w:val="28"/>
        </w:rPr>
      </w:pPr>
      <w:r>
        <w:rPr>
          <w:rFonts w:hint="eastAsia" w:ascii="仿宋" w:hAnsi="仿宋" w:eastAsia="仿宋" w:cs="仿宋"/>
          <w:b w:val="0"/>
          <w:bCs/>
          <w:color w:val="000000" w:themeColor="text1"/>
          <w:sz w:val="28"/>
          <w:szCs w:val="28"/>
          <w14:textFill>
            <w14:solidFill>
              <w14:schemeClr w14:val="tx1"/>
            </w14:solidFill>
          </w14:textFill>
        </w:rPr>
        <w:t>邮件主题命名为：XX学院竞标+XX类活动（活动具体名称），如：XX学院竞标+文体类活动（周末舞会）。</w:t>
      </w:r>
    </w:p>
    <w:p>
      <w:pPr>
        <w:pStyle w:val="18"/>
        <w:numPr>
          <w:ilvl w:val="0"/>
          <w:numId w:val="1"/>
        </w:numPr>
        <w:spacing w:line="360" w:lineRule="auto"/>
        <w:ind w:firstLine="0" w:firstLineChars="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附件为《暨南大学研究生会活动招标申请书》，一式两份，一份为word文档，命名为“XX学院活动招标申请书+XX类活动（活动具体名称）”，一份为PDF文档【PDF文档为盲审使用文档，PDF文档中不可出现学院具体名称字样，学院具体名称一律用***学院（三个星号+“学院”二字）代替】，命名为“【盲审】XX学院活动招标申请书+XX类活动（活动具体名称）”。</w:t>
      </w:r>
    </w:p>
    <w:p>
      <w:pPr>
        <w:pStyle w:val="18"/>
        <w:spacing w:line="360" w:lineRule="auto"/>
        <w:ind w:firstLine="562"/>
        <w:rPr>
          <w:rFonts w:hint="eastAsia" w:ascii="仿宋" w:hAnsi="仿宋" w:eastAsia="仿宋" w:cs="仿宋"/>
          <w:color w:val="000000" w:themeColor="text1"/>
          <w:sz w:val="32"/>
          <w:szCs w:val="32"/>
          <w14:textFill>
            <w14:solidFill>
              <w14:schemeClr w14:val="tx1"/>
            </w14:solidFill>
          </w14:textFill>
        </w:rPr>
      </w:pPr>
    </w:p>
    <w:p>
      <w:pPr>
        <w:pStyle w:val="18"/>
        <w:spacing w:line="360" w:lineRule="auto"/>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三、经费发放与活动审核</w:t>
      </w:r>
    </w:p>
    <w:p>
      <w:pPr>
        <w:spacing w:line="360" w:lineRule="auto"/>
        <w:outlineLvl w:val="1"/>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（一）审核活动经费预算表</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1.学院提交的申请书里，必须包含《活动经费支出清单》。每一项支出的用途要写得尽量详细具体；</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2.经费支出的活动、价格和数量要合理。</w:t>
      </w:r>
    </w:p>
    <w:p>
      <w:pPr>
        <w:spacing w:line="360" w:lineRule="auto"/>
        <w:outlineLvl w:val="1"/>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（二）材料总结及报账流程</w:t>
      </w:r>
    </w:p>
    <w:p>
      <w:pPr>
        <w:spacing w:line="360" w:lineRule="auto"/>
        <w:outlineLvl w:val="1"/>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 xml:space="preserve"> 1.活动结束后，学院研会需在一周内收集整理活动的材料，包括活动新闻稿、活动总结等相关材料发送给校研会综合事务部，研究生会根据其活动材料的完整度进行评估，并将其完整度作为活动经费发放额度的考量标准之一。由暨南大学研究生会主席团与相关工作部门负责人成立评审小组，根据学院上报的材料对活动取得的效果进行审核。</w:t>
      </w:r>
    </w:p>
    <w:p>
      <w:pPr>
        <w:spacing w:line="360" w:lineRule="auto"/>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2.招投标活动采取经费下拨的方式，活动举办、材料审核通过之后，在研究生德育网发布相关新闻，由</w:t>
      </w:r>
      <w:r>
        <w:rPr>
          <w:rFonts w:hint="eastAsia" w:ascii="仿宋" w:hAnsi="仿宋" w:eastAsia="仿宋" w:cs="仿宋"/>
          <w:bCs/>
          <w:color w:val="000000" w:themeColor="text1"/>
          <w:sz w:val="28"/>
          <w:szCs w:val="28"/>
          <w14:textFill>
            <w14:solidFill>
              <w14:schemeClr w14:val="tx1"/>
            </w14:solidFill>
          </w14:textFill>
        </w:rPr>
        <w:t>党委研究生工作部统一拨放经费至学院。</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本方案最终解释权归暨南大学研究生会。</w:t>
      </w:r>
    </w:p>
    <w:p>
      <w:pPr>
        <w:spacing w:line="360" w:lineRule="auto"/>
        <w:rPr>
          <w:rFonts w:hint="eastAsia" w:ascii="仿宋" w:hAnsi="仿宋" w:eastAsia="仿宋" w:cs="仿宋"/>
          <w:color w:val="000000" w:themeColor="text1"/>
          <w:sz w:val="28"/>
          <w:szCs w:val="28"/>
          <w14:textFill>
            <w14:solidFill>
              <w14:schemeClr w14:val="tx1"/>
            </w14:solidFill>
          </w14:textFill>
        </w:rPr>
      </w:pPr>
    </w:p>
    <w:p>
      <w:pPr>
        <w:spacing w:line="360" w:lineRule="auto"/>
        <w:ind w:firstLine="560" w:firstLineChars="200"/>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暨南大学研究生会</w:t>
      </w:r>
    </w:p>
    <w:p>
      <w:pPr>
        <w:spacing w:line="360" w:lineRule="auto"/>
        <w:ind w:firstLine="560" w:firstLineChars="200"/>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年11月</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日</w:t>
      </w:r>
    </w:p>
    <w:p>
      <w:pPr>
        <w:pStyle w:val="21"/>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r>
        <w:rPr>
          <w:rFonts w:hint="eastAsia" w:ascii="仿宋" w:hAnsi="仿宋" w:eastAsia="仿宋" w:cs="仿宋"/>
          <w:color w:val="000000" w:themeColor="text1"/>
          <w:sz w:val="28"/>
          <w:szCs w:val="28"/>
          <w14:textFill>
            <w14:solidFill>
              <w14:schemeClr w14:val="tx1"/>
            </w14:solidFill>
          </w14:textFill>
        </w:rPr>
        <w:t xml:space="preserve"> </w:t>
      </w:r>
    </w:p>
    <w:p>
      <w:pPr>
        <w:spacing w:line="360" w:lineRule="auto"/>
        <w:jc w:val="center"/>
        <w:rPr>
          <w:rFonts w:hint="eastAsia"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综合评审表</w:t>
      </w:r>
    </w:p>
    <w:tbl>
      <w:tblPr>
        <w:tblStyle w:val="9"/>
        <w:tblW w:w="8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4"/>
        <w:gridCol w:w="3103"/>
        <w:gridCol w:w="1418"/>
        <w:gridCol w:w="1290"/>
        <w:tblGridChange w:id="0">
          <w:tblGrid>
            <w:gridCol w:w="2467"/>
            <w:gridCol w:w="157"/>
            <w:gridCol w:w="3103"/>
            <w:gridCol w:w="1418"/>
            <w:gridCol w:w="1290"/>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624" w:type="dxa"/>
            <w:vAlign w:val="center"/>
          </w:tcPr>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活动类别</w:t>
            </w:r>
          </w:p>
        </w:tc>
        <w:tc>
          <w:tcPr>
            <w:tcW w:w="3103" w:type="dxa"/>
            <w:tcBorders>
              <w:right w:val="single" w:color="auto" w:sz="4" w:space="0"/>
            </w:tcBorders>
            <w:vAlign w:val="center"/>
          </w:tcPr>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p>
        </w:tc>
        <w:tc>
          <w:tcPr>
            <w:tcW w:w="1418" w:type="dxa"/>
            <w:tcBorders>
              <w:left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申请书</w:t>
            </w: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编号</w:t>
            </w:r>
          </w:p>
        </w:tc>
        <w:tc>
          <w:tcPr>
            <w:tcW w:w="1290" w:type="dxa"/>
            <w:tcBorders>
              <w:left w:val="single" w:color="auto" w:sz="4" w:space="0"/>
            </w:tcBorders>
            <w:vAlign w:val="center"/>
          </w:tcPr>
          <w:p>
            <w:pPr>
              <w:spacing w:line="360" w:lineRule="auto"/>
              <w:rPr>
                <w:rFonts w:hint="eastAsia" w:ascii="仿宋" w:hAnsi="仿宋" w:eastAsia="仿宋" w:cs="仿宋"/>
                <w:b/>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624" w:type="dxa"/>
            <w:vAlign w:val="center"/>
          </w:tcPr>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评审内容</w:t>
            </w:r>
          </w:p>
        </w:tc>
        <w:tc>
          <w:tcPr>
            <w:tcW w:w="3103" w:type="dxa"/>
            <w:vAlign w:val="center"/>
          </w:tcPr>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评分标准</w:t>
            </w:r>
          </w:p>
        </w:tc>
        <w:tc>
          <w:tcPr>
            <w:tcW w:w="1418" w:type="dxa"/>
            <w:vAlign w:val="center"/>
          </w:tcPr>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分值</w:t>
            </w:r>
          </w:p>
        </w:tc>
        <w:tc>
          <w:tcPr>
            <w:tcW w:w="1290" w:type="dxa"/>
            <w:vAlign w:val="center"/>
          </w:tcPr>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624"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活动活动投标策划书</w:t>
            </w:r>
          </w:p>
        </w:tc>
        <w:tc>
          <w:tcPr>
            <w:tcW w:w="3103"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完整性程度</w:t>
            </w:r>
          </w:p>
        </w:tc>
        <w:tc>
          <w:tcPr>
            <w:tcW w:w="1418"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1290"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624"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活动宣传设计</w:t>
            </w:r>
          </w:p>
        </w:tc>
        <w:tc>
          <w:tcPr>
            <w:tcW w:w="3103"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完整性高、亮点突出</w:t>
            </w:r>
          </w:p>
        </w:tc>
        <w:tc>
          <w:tcPr>
            <w:tcW w:w="1418"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w:t>
            </w:r>
          </w:p>
        </w:tc>
        <w:tc>
          <w:tcPr>
            <w:tcW w:w="1290"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624"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活动流程设计</w:t>
            </w:r>
          </w:p>
        </w:tc>
        <w:tc>
          <w:tcPr>
            <w:tcW w:w="3103"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严谨性高、流程设计独特性高</w:t>
            </w:r>
          </w:p>
        </w:tc>
        <w:tc>
          <w:tcPr>
            <w:tcW w:w="1418"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w:t>
            </w:r>
          </w:p>
        </w:tc>
        <w:tc>
          <w:tcPr>
            <w:tcW w:w="1290"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624"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活动经费管理</w:t>
            </w:r>
          </w:p>
        </w:tc>
        <w:tc>
          <w:tcPr>
            <w:tcW w:w="3103"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详细程度高、合理性较好</w:t>
            </w:r>
          </w:p>
        </w:tc>
        <w:tc>
          <w:tcPr>
            <w:tcW w:w="1418"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w:t>
            </w:r>
          </w:p>
        </w:tc>
        <w:tc>
          <w:tcPr>
            <w:tcW w:w="1290"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624"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工作人员安排</w:t>
            </w:r>
          </w:p>
        </w:tc>
        <w:tc>
          <w:tcPr>
            <w:tcW w:w="3103"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安排清晰具体、、协调性好、人员安排充裕</w:t>
            </w:r>
          </w:p>
        </w:tc>
        <w:tc>
          <w:tcPr>
            <w:tcW w:w="1418"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1290"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624"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活动创新点</w:t>
            </w:r>
          </w:p>
        </w:tc>
        <w:tc>
          <w:tcPr>
            <w:tcW w:w="3103"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活动创新点突出、可行性强</w:t>
            </w:r>
          </w:p>
        </w:tc>
        <w:tc>
          <w:tcPr>
            <w:tcW w:w="1418"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w:t>
            </w:r>
          </w:p>
        </w:tc>
        <w:tc>
          <w:tcPr>
            <w:tcW w:w="1290"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624"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风险应对措施</w:t>
            </w:r>
          </w:p>
        </w:tc>
        <w:tc>
          <w:tcPr>
            <w:tcW w:w="3103"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保证参加成员数量充裕、现场安全指示完善</w:t>
            </w:r>
          </w:p>
        </w:tc>
        <w:tc>
          <w:tcPr>
            <w:tcW w:w="1418"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1290"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7145" w:type="dxa"/>
            <w:gridSpan w:val="3"/>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汇总得分</w:t>
            </w:r>
          </w:p>
        </w:tc>
        <w:tc>
          <w:tcPr>
            <w:tcW w:w="1290"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p>
        </w:tc>
      </w:tr>
    </w:tbl>
    <w:p>
      <w:pPr>
        <w:rPr>
          <w:rFonts w:asciiTheme="minorEastAsia" w:hAnsiTheme="minorEastAsia" w:eastAsiaTheme="minorEastAsia"/>
          <w:color w:val="000000" w:themeColor="text1"/>
          <w:sz w:val="24"/>
          <w:szCs w:val="24"/>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59264" behindDoc="1" locked="0" layoutInCell="1" allowOverlap="1">
          <wp:simplePos x="0" y="0"/>
          <wp:positionH relativeFrom="column">
            <wp:posOffset>-57150</wp:posOffset>
          </wp:positionH>
          <wp:positionV relativeFrom="paragraph">
            <wp:posOffset>-64135</wp:posOffset>
          </wp:positionV>
          <wp:extent cx="1676400" cy="419100"/>
          <wp:effectExtent l="19050" t="0" r="0" b="0"/>
          <wp:wrapNone/>
          <wp:docPr id="4" name="图片 1" descr="C:\Users\yYi\Desktop\暨南大学研究生会(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yYi\Desktop\暨南大学研究生会(小).jpg"/>
                  <pic:cNvPicPr>
                    <a:picLocks noChangeAspect="1" noChangeArrowheads="1"/>
                  </pic:cNvPicPr>
                </pic:nvPicPr>
                <pic:blipFill>
                  <a:blip r:embed="rId1"/>
                  <a:srcRect/>
                  <a:stretch>
                    <a:fillRect/>
                  </a:stretch>
                </pic:blipFill>
                <pic:spPr>
                  <a:xfrm>
                    <a:off x="0" y="0"/>
                    <a:ext cx="1676400" cy="419100"/>
                  </a:xfrm>
                  <a:prstGeom prst="rect">
                    <a:avLst/>
                  </a:prstGeom>
                  <a:noFill/>
                  <a:ln w="9525">
                    <a:noFill/>
                    <a:miter lim="800000"/>
                    <a:headEnd/>
                    <a:tailEnd/>
                  </a:ln>
                </pic:spPr>
              </pic:pic>
            </a:graphicData>
          </a:graphic>
        </wp:anchor>
      </w:drawing>
    </w:r>
  </w:p>
  <w:p>
    <w:pPr>
      <w:pStyle w:val="7"/>
      <w:spacing w:line="276" w:lineRule="auto"/>
      <w:jc w:val="both"/>
      <w:rPr>
        <w:rFonts w:ascii="Arial" w:hAnsi="Arial" w:cs="Arial"/>
        <w:sz w:val="21"/>
        <w:szCs w:val="21"/>
      </w:rPr>
    </w:pPr>
    <w:r>
      <w:rPr>
        <w:rFonts w:ascii="Arial" w:hAnsi="Arial" w:cs="Arial"/>
        <w:sz w:val="21"/>
        <w:szCs w:val="21"/>
      </w:rPr>
      <w:t>http://gsd.jnu.edu.cn/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5326DB"/>
    <w:multiLevelType w:val="multilevel"/>
    <w:tmpl w:val="6E5326DB"/>
    <w:lvl w:ilvl="0" w:tentative="0">
      <w:start w:val="1"/>
      <w:numFmt w:val="decimal"/>
      <w:lvlText w:val="%1."/>
      <w:lvlJc w:val="left"/>
      <w:pPr>
        <w:ind w:left="360" w:hanging="36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8C"/>
    <w:rsid w:val="000348D6"/>
    <w:rsid w:val="00050F87"/>
    <w:rsid w:val="00067D1D"/>
    <w:rsid w:val="00071088"/>
    <w:rsid w:val="00090451"/>
    <w:rsid w:val="000B65F9"/>
    <w:rsid w:val="000C3E74"/>
    <w:rsid w:val="000D1392"/>
    <w:rsid w:val="000D6A6E"/>
    <w:rsid w:val="000E6FA5"/>
    <w:rsid w:val="00101714"/>
    <w:rsid w:val="00102792"/>
    <w:rsid w:val="001166FF"/>
    <w:rsid w:val="00123042"/>
    <w:rsid w:val="0014477E"/>
    <w:rsid w:val="0016076B"/>
    <w:rsid w:val="00162181"/>
    <w:rsid w:val="001636F7"/>
    <w:rsid w:val="001B0346"/>
    <w:rsid w:val="001B049D"/>
    <w:rsid w:val="001B5513"/>
    <w:rsid w:val="001E63AE"/>
    <w:rsid w:val="002008F2"/>
    <w:rsid w:val="002358F2"/>
    <w:rsid w:val="0023747A"/>
    <w:rsid w:val="0024612D"/>
    <w:rsid w:val="00252264"/>
    <w:rsid w:val="002C1FDA"/>
    <w:rsid w:val="00320EB9"/>
    <w:rsid w:val="00322E69"/>
    <w:rsid w:val="00325D87"/>
    <w:rsid w:val="00332010"/>
    <w:rsid w:val="00335F29"/>
    <w:rsid w:val="003412B7"/>
    <w:rsid w:val="003470A1"/>
    <w:rsid w:val="00360013"/>
    <w:rsid w:val="003721B3"/>
    <w:rsid w:val="00376535"/>
    <w:rsid w:val="00380762"/>
    <w:rsid w:val="00380CB6"/>
    <w:rsid w:val="00381312"/>
    <w:rsid w:val="003875F3"/>
    <w:rsid w:val="0039128D"/>
    <w:rsid w:val="003933AC"/>
    <w:rsid w:val="00395C2B"/>
    <w:rsid w:val="003A260A"/>
    <w:rsid w:val="003B3201"/>
    <w:rsid w:val="003C1CF4"/>
    <w:rsid w:val="003D35C4"/>
    <w:rsid w:val="003E580B"/>
    <w:rsid w:val="00407674"/>
    <w:rsid w:val="00420C0F"/>
    <w:rsid w:val="0046654D"/>
    <w:rsid w:val="0046761F"/>
    <w:rsid w:val="004A5F11"/>
    <w:rsid w:val="004C485C"/>
    <w:rsid w:val="0052389C"/>
    <w:rsid w:val="00524C40"/>
    <w:rsid w:val="0052590D"/>
    <w:rsid w:val="0052702B"/>
    <w:rsid w:val="0055414A"/>
    <w:rsid w:val="005619D1"/>
    <w:rsid w:val="00586C7D"/>
    <w:rsid w:val="00586F83"/>
    <w:rsid w:val="00663E4F"/>
    <w:rsid w:val="006928DB"/>
    <w:rsid w:val="006C1D2F"/>
    <w:rsid w:val="006D40E6"/>
    <w:rsid w:val="006E2093"/>
    <w:rsid w:val="006F7D35"/>
    <w:rsid w:val="00722069"/>
    <w:rsid w:val="0072312F"/>
    <w:rsid w:val="00747564"/>
    <w:rsid w:val="007766D3"/>
    <w:rsid w:val="00790D39"/>
    <w:rsid w:val="007C540F"/>
    <w:rsid w:val="007E4F53"/>
    <w:rsid w:val="00803213"/>
    <w:rsid w:val="00852E80"/>
    <w:rsid w:val="0085475D"/>
    <w:rsid w:val="00885291"/>
    <w:rsid w:val="008A5144"/>
    <w:rsid w:val="008E0F9F"/>
    <w:rsid w:val="008F1275"/>
    <w:rsid w:val="008F5D88"/>
    <w:rsid w:val="00903EB8"/>
    <w:rsid w:val="009206C1"/>
    <w:rsid w:val="00933EE7"/>
    <w:rsid w:val="00963EC1"/>
    <w:rsid w:val="00965B60"/>
    <w:rsid w:val="00975479"/>
    <w:rsid w:val="00985EAD"/>
    <w:rsid w:val="009A67AE"/>
    <w:rsid w:val="009D729E"/>
    <w:rsid w:val="00A1412A"/>
    <w:rsid w:val="00A24A07"/>
    <w:rsid w:val="00A409ED"/>
    <w:rsid w:val="00A56FB6"/>
    <w:rsid w:val="00A70A13"/>
    <w:rsid w:val="00A70CD2"/>
    <w:rsid w:val="00A7411F"/>
    <w:rsid w:val="00A7486E"/>
    <w:rsid w:val="00A92964"/>
    <w:rsid w:val="00AD13B5"/>
    <w:rsid w:val="00AF566B"/>
    <w:rsid w:val="00AF69BE"/>
    <w:rsid w:val="00B02C73"/>
    <w:rsid w:val="00B073FD"/>
    <w:rsid w:val="00B23452"/>
    <w:rsid w:val="00B541AA"/>
    <w:rsid w:val="00B5585A"/>
    <w:rsid w:val="00B7318C"/>
    <w:rsid w:val="00B8631C"/>
    <w:rsid w:val="00BC43A9"/>
    <w:rsid w:val="00BF25B9"/>
    <w:rsid w:val="00C115AC"/>
    <w:rsid w:val="00C14FA1"/>
    <w:rsid w:val="00C2336B"/>
    <w:rsid w:val="00C75199"/>
    <w:rsid w:val="00C96D14"/>
    <w:rsid w:val="00CE1342"/>
    <w:rsid w:val="00D0796F"/>
    <w:rsid w:val="00D1425D"/>
    <w:rsid w:val="00D27FBA"/>
    <w:rsid w:val="00D35859"/>
    <w:rsid w:val="00D7005C"/>
    <w:rsid w:val="00D71910"/>
    <w:rsid w:val="00DB0A7A"/>
    <w:rsid w:val="00DC7DB8"/>
    <w:rsid w:val="00DF65FA"/>
    <w:rsid w:val="00E20760"/>
    <w:rsid w:val="00E90C41"/>
    <w:rsid w:val="00EA4A38"/>
    <w:rsid w:val="00EB3A04"/>
    <w:rsid w:val="00ED0F69"/>
    <w:rsid w:val="00EE2D2C"/>
    <w:rsid w:val="00EF104E"/>
    <w:rsid w:val="00F1293D"/>
    <w:rsid w:val="00F35012"/>
    <w:rsid w:val="00F53BC1"/>
    <w:rsid w:val="00F71F36"/>
    <w:rsid w:val="00F81163"/>
    <w:rsid w:val="00F86D06"/>
    <w:rsid w:val="00F94DAE"/>
    <w:rsid w:val="00F965FD"/>
    <w:rsid w:val="00FD6A32"/>
    <w:rsid w:val="00FE33ED"/>
    <w:rsid w:val="00FF7095"/>
    <w:rsid w:val="036512B6"/>
    <w:rsid w:val="04F52AA7"/>
    <w:rsid w:val="0586028C"/>
    <w:rsid w:val="06257D59"/>
    <w:rsid w:val="0C653615"/>
    <w:rsid w:val="0FE0587E"/>
    <w:rsid w:val="16E4071D"/>
    <w:rsid w:val="178D1F87"/>
    <w:rsid w:val="1BA73150"/>
    <w:rsid w:val="21D81A5E"/>
    <w:rsid w:val="21F8571E"/>
    <w:rsid w:val="27650921"/>
    <w:rsid w:val="27A41F27"/>
    <w:rsid w:val="28F67775"/>
    <w:rsid w:val="2A5106EB"/>
    <w:rsid w:val="2C952FFE"/>
    <w:rsid w:val="32FE6971"/>
    <w:rsid w:val="330946D0"/>
    <w:rsid w:val="340F5F9B"/>
    <w:rsid w:val="34F1105E"/>
    <w:rsid w:val="356D3EFC"/>
    <w:rsid w:val="39001952"/>
    <w:rsid w:val="3A5A6032"/>
    <w:rsid w:val="3F45765E"/>
    <w:rsid w:val="3F850CF3"/>
    <w:rsid w:val="408E2580"/>
    <w:rsid w:val="4ADE5D57"/>
    <w:rsid w:val="4CF66731"/>
    <w:rsid w:val="4DAD09ED"/>
    <w:rsid w:val="4DE11EEA"/>
    <w:rsid w:val="512F71A3"/>
    <w:rsid w:val="5F5C029C"/>
    <w:rsid w:val="62746BA0"/>
    <w:rsid w:val="62866C4C"/>
    <w:rsid w:val="63844044"/>
    <w:rsid w:val="6E3C60B3"/>
    <w:rsid w:val="6FC265D7"/>
    <w:rsid w:val="700B5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annotation text"/>
    <w:basedOn w:val="1"/>
    <w:link w:val="24"/>
    <w:unhideWhenUsed/>
    <w:qFormat/>
    <w:uiPriority w:val="0"/>
    <w:pPr>
      <w:jc w:val="left"/>
    </w:pPr>
    <w:rPr>
      <w:rFonts w:ascii="Times New Roman" w:hAnsi="Times New Roman"/>
      <w:szCs w:val="20"/>
    </w:rPr>
  </w:style>
  <w:style w:type="paragraph" w:styleId="4">
    <w:name w:val="Date"/>
    <w:basedOn w:val="1"/>
    <w:next w:val="1"/>
    <w:link w:val="26"/>
    <w:semiHidden/>
    <w:unhideWhenUsed/>
    <w:qFormat/>
    <w:uiPriority w:val="99"/>
    <w:pPr>
      <w:ind w:left="100" w:leftChars="2500"/>
    </w:pPr>
  </w:style>
  <w:style w:type="paragraph" w:styleId="5">
    <w:name w:val="Balloon Text"/>
    <w:basedOn w:val="1"/>
    <w:link w:val="16"/>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7"/>
    <w:semiHidden/>
    <w:unhideWhenUsed/>
    <w:qFormat/>
    <w:uiPriority w:val="99"/>
    <w:rPr>
      <w:rFonts w:ascii="Calibri" w:hAnsi="Calibri"/>
      <w:b/>
      <w:bCs/>
      <w:szCs w:val="2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semiHidden/>
    <w:qFormat/>
    <w:uiPriority w:val="99"/>
    <w:rPr>
      <w:sz w:val="18"/>
      <w:szCs w:val="18"/>
    </w:rPr>
  </w:style>
  <w:style w:type="character" w:customStyle="1" w:styleId="16">
    <w:name w:val="批注框文本 字符"/>
    <w:basedOn w:val="11"/>
    <w:link w:val="5"/>
    <w:semiHidden/>
    <w:qFormat/>
    <w:uiPriority w:val="99"/>
    <w:rPr>
      <w:sz w:val="18"/>
      <w:szCs w:val="18"/>
    </w:rPr>
  </w:style>
  <w:style w:type="character" w:customStyle="1" w:styleId="17">
    <w:name w:val="研体1.0 Char"/>
    <w:link w:val="18"/>
    <w:qFormat/>
    <w:uiPriority w:val="0"/>
    <w:rPr>
      <w:rFonts w:ascii="黑体" w:hAnsi="黑体" w:eastAsia="黑体"/>
      <w:b/>
      <w:sz w:val="32"/>
      <w:szCs w:val="32"/>
    </w:rPr>
  </w:style>
  <w:style w:type="paragraph" w:customStyle="1" w:styleId="18">
    <w:name w:val="研体1.0"/>
    <w:basedOn w:val="1"/>
    <w:link w:val="17"/>
    <w:qFormat/>
    <w:uiPriority w:val="0"/>
    <w:pPr>
      <w:ind w:firstLine="643" w:firstLineChars="200"/>
      <w:outlineLvl w:val="0"/>
    </w:pPr>
    <w:rPr>
      <w:rFonts w:ascii="黑体" w:hAnsi="黑体" w:eastAsia="黑体" w:cstheme="minorBidi"/>
      <w:b/>
      <w:sz w:val="32"/>
      <w:szCs w:val="32"/>
    </w:rPr>
  </w:style>
  <w:style w:type="character" w:customStyle="1" w:styleId="19">
    <w:name w:val="批注文字 Char"/>
    <w:qFormat/>
    <w:uiPriority w:val="0"/>
    <w:rPr>
      <w:rFonts w:ascii="Times New Roman" w:hAnsi="Times New Roman" w:eastAsia="宋体" w:cs="Times New Roman"/>
      <w:szCs w:val="20"/>
    </w:rPr>
  </w:style>
  <w:style w:type="character" w:customStyle="1" w:styleId="20">
    <w:name w:val="研体2.0 Char"/>
    <w:link w:val="21"/>
    <w:qFormat/>
    <w:uiPriority w:val="0"/>
    <w:rPr>
      <w:rFonts w:ascii="楷体" w:hAnsi="楷体" w:eastAsia="楷体"/>
      <w:b/>
      <w:sz w:val="32"/>
      <w:szCs w:val="32"/>
    </w:rPr>
  </w:style>
  <w:style w:type="paragraph" w:customStyle="1" w:styleId="21">
    <w:name w:val="研体2.0"/>
    <w:basedOn w:val="18"/>
    <w:link w:val="20"/>
    <w:qFormat/>
    <w:uiPriority w:val="0"/>
    <w:pPr>
      <w:spacing w:line="360" w:lineRule="auto"/>
      <w:ind w:firstLine="200"/>
      <w:outlineLvl w:val="1"/>
    </w:pPr>
    <w:rPr>
      <w:rFonts w:ascii="楷体" w:hAnsi="楷体" w:eastAsia="楷体"/>
    </w:rPr>
  </w:style>
  <w:style w:type="character" w:customStyle="1" w:styleId="22">
    <w:name w:val="研体3.0 Char"/>
    <w:link w:val="23"/>
    <w:qFormat/>
    <w:uiPriority w:val="0"/>
    <w:rPr>
      <w:rFonts w:ascii="仿宋" w:hAnsi="仿宋" w:eastAsia="仿宋"/>
      <w:b/>
      <w:sz w:val="32"/>
      <w:szCs w:val="32"/>
    </w:rPr>
  </w:style>
  <w:style w:type="paragraph" w:customStyle="1" w:styleId="23">
    <w:name w:val="研体3.0"/>
    <w:basedOn w:val="21"/>
    <w:link w:val="22"/>
    <w:qFormat/>
    <w:uiPriority w:val="0"/>
    <w:pPr>
      <w:outlineLvl w:val="2"/>
    </w:pPr>
    <w:rPr>
      <w:rFonts w:ascii="仿宋" w:hAnsi="仿宋" w:eastAsia="仿宋"/>
    </w:rPr>
  </w:style>
  <w:style w:type="character" w:customStyle="1" w:styleId="24">
    <w:name w:val="批注文字 字符"/>
    <w:basedOn w:val="11"/>
    <w:link w:val="3"/>
    <w:semiHidden/>
    <w:qFormat/>
    <w:uiPriority w:val="99"/>
    <w:rPr>
      <w:rFonts w:ascii="Calibri" w:hAnsi="Calibri" w:eastAsia="宋体" w:cs="Times New Roman"/>
    </w:rPr>
  </w:style>
  <w:style w:type="paragraph" w:customStyle="1" w:styleId="25">
    <w:name w:val="列出段落1"/>
    <w:basedOn w:val="1"/>
    <w:qFormat/>
    <w:uiPriority w:val="34"/>
    <w:pPr>
      <w:ind w:firstLine="420"/>
    </w:pPr>
  </w:style>
  <w:style w:type="character" w:customStyle="1" w:styleId="26">
    <w:name w:val="日期 字符"/>
    <w:basedOn w:val="11"/>
    <w:link w:val="4"/>
    <w:semiHidden/>
    <w:qFormat/>
    <w:uiPriority w:val="99"/>
    <w:rPr>
      <w:rFonts w:ascii="Calibri" w:hAnsi="Calibri" w:eastAsia="宋体" w:cs="Times New Roman"/>
      <w:kern w:val="2"/>
      <w:sz w:val="21"/>
      <w:szCs w:val="22"/>
    </w:rPr>
  </w:style>
  <w:style w:type="character" w:customStyle="1" w:styleId="27">
    <w:name w:val="批注主题 字符"/>
    <w:basedOn w:val="24"/>
    <w:link w:val="8"/>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67BBA-07B7-48D7-9E5C-8C313431528A}">
  <ds:schemaRefs/>
</ds:datastoreItem>
</file>

<file path=docProps/app.xml><?xml version="1.0" encoding="utf-8"?>
<Properties xmlns="http://schemas.openxmlformats.org/officeDocument/2006/extended-properties" xmlns:vt="http://schemas.openxmlformats.org/officeDocument/2006/docPropsVTypes">
  <Template>Normal.dotm</Template>
  <Company>GDUFS</Company>
  <Pages>6</Pages>
  <Words>455</Words>
  <Characters>2600</Characters>
  <Lines>21</Lines>
  <Paragraphs>6</Paragraphs>
  <TotalTime>11</TotalTime>
  <ScaleCrop>false</ScaleCrop>
  <LinksUpToDate>false</LinksUpToDate>
  <CharactersWithSpaces>3049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2020-11-06T06:05:00Z</dcterms:created>
  <dc:creator>yYi</dc:creator>
  <cp:lastModifiedBy>Carry</cp:lastModifiedBy>
  <dcterms:modified xsi:type="dcterms:W3CDTF">2021-11-16T08:24:00Z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9BF074FE2CC344D6A10C3B33695E7D50</vt:lpwstr>
  </property>
</Properties>
</file>